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4E" w:rsidRPr="00D21D4E" w:rsidRDefault="00D21D4E" w:rsidP="00D21D4E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8"/>
          <w:szCs w:val="24"/>
          <w:u w:val="single"/>
        </w:rPr>
      </w:pPr>
      <w:r w:rsidRPr="00D21D4E">
        <w:rPr>
          <w:rFonts w:ascii="Times New Roman" w:eastAsia="Times New Roman" w:hAnsi="Times New Roman" w:cs="Times New Roman"/>
          <w:b/>
          <w:bCs/>
          <w:sz w:val="38"/>
          <w:szCs w:val="24"/>
          <w:u w:val="single"/>
        </w:rPr>
        <w:t>REPORT</w:t>
      </w:r>
    </w:p>
    <w:p w:rsidR="00D21D4E" w:rsidRPr="00D21D4E" w:rsidRDefault="00D21D4E" w:rsidP="00D21D4E">
      <w:pPr>
        <w:spacing w:line="240" w:lineRule="auto"/>
        <w:ind w:left="567"/>
        <w:jc w:val="center"/>
        <w:rPr>
          <w:rFonts w:ascii="Times New Roman" w:hAnsi="Times New Roman" w:cs="Times New Roman"/>
          <w:sz w:val="30"/>
          <w:szCs w:val="24"/>
        </w:rPr>
      </w:pPr>
      <w:r w:rsidRPr="00D21D4E">
        <w:rPr>
          <w:rFonts w:ascii="Times New Roman" w:eastAsia="Times New Roman" w:hAnsi="Times New Roman" w:cs="Times New Roman"/>
          <w:b/>
          <w:bCs/>
          <w:sz w:val="30"/>
          <w:szCs w:val="24"/>
        </w:rPr>
        <w:t xml:space="preserve">Assessment of Conservation Status and Development of the Red list for Western Ghats </w:t>
      </w:r>
      <w:proofErr w:type="spellStart"/>
      <w:r w:rsidRPr="00D21D4E">
        <w:rPr>
          <w:rFonts w:ascii="Times New Roman" w:eastAsia="Times New Roman" w:hAnsi="Times New Roman" w:cs="Times New Roman"/>
          <w:b/>
          <w:bCs/>
          <w:sz w:val="30"/>
          <w:szCs w:val="24"/>
        </w:rPr>
        <w:t>Usioned</w:t>
      </w:r>
      <w:proofErr w:type="spellEnd"/>
      <w:r w:rsidRPr="00D21D4E">
        <w:rPr>
          <w:rFonts w:ascii="Times New Roman" w:eastAsia="Times New Roman" w:hAnsi="Times New Roman" w:cs="Times New Roman"/>
          <w:b/>
          <w:bCs/>
          <w:sz w:val="30"/>
          <w:szCs w:val="24"/>
        </w:rPr>
        <w:t xml:space="preserve"> Lichens</w:t>
      </w:r>
    </w:p>
    <w:p w:rsidR="00D21D4E" w:rsidRDefault="00D21D4E" w:rsidP="00D21D4E">
      <w:pPr>
        <w:spacing w:line="360" w:lineRule="auto"/>
        <w:ind w:left="720" w:right="-21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present study </w:t>
      </w:r>
      <w:r w:rsidRPr="002569C0">
        <w:rPr>
          <w:rFonts w:ascii="Times New Roman" w:hAnsi="Times New Roman" w:cs="Times New Roman"/>
          <w:sz w:val="24"/>
          <w:szCs w:val="24"/>
        </w:rPr>
        <w:t xml:space="preserve">Field trips were made to various locations in Maharashtra, Karnataka, Tamil Nadu and Kerala. In Karnataka we visited different location like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Kemmangundi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Kuduremukh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Sringeri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Mulyannagiri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Chikmagaluru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Dist.,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Suliya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Subramanya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Udupi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Dakshina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Kannada Dist.,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Bhagmandala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Mugilpete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Talkave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Kushalnagar</w:t>
      </w:r>
      <w:proofErr w:type="spellEnd"/>
      <w:r>
        <w:rPr>
          <w:rFonts w:ascii="Times New Roman" w:hAnsi="Times New Roman" w:cs="Times New Roman"/>
          <w:sz w:val="24"/>
          <w:szCs w:val="24"/>
        </w:rPr>
        <w:t>, Elephant Camp,</w:t>
      </w:r>
      <w:r w:rsidRPr="0025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Madikeri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9C0">
        <w:rPr>
          <w:rFonts w:ascii="Times New Roman" w:hAnsi="Times New Roman" w:cs="Times New Roman"/>
          <w:sz w:val="24"/>
          <w:szCs w:val="24"/>
        </w:rPr>
        <w:t>Dist.,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Kodachadri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Anandapura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Hosanagara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Shimoga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Dist. Also collections are made from few areas of Mysore,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Chamarajanagar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Dist.</w:t>
      </w:r>
      <w:r w:rsidRPr="002569C0">
        <w:rPr>
          <w:rFonts w:ascii="Times New Roman" w:hAnsi="Times New Roman" w:cs="Times New Roman"/>
          <w:sz w:val="24"/>
          <w:szCs w:val="24"/>
        </w:rPr>
        <w:t xml:space="preserve"> In Maharashtra collections are made from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Mahabaleshwar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Panchagani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Satara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Dist., In Kerala collections are made from Different spots in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Munnar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Kochi, </w:t>
      </w:r>
      <w:proofErr w:type="gramStart"/>
      <w:r w:rsidRPr="002569C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2569C0">
        <w:rPr>
          <w:rFonts w:ascii="Times New Roman" w:hAnsi="Times New Roman" w:cs="Times New Roman"/>
          <w:sz w:val="24"/>
          <w:szCs w:val="24"/>
        </w:rPr>
        <w:t xml:space="preserve"> Tamil Nadu specimens are collected from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Nilgiri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hills of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Ooty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Dodabetta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69C0">
        <w:rPr>
          <w:rFonts w:ascii="Times New Roman" w:hAnsi="Times New Roman" w:cs="Times New Roman"/>
          <w:sz w:val="24"/>
          <w:szCs w:val="24"/>
        </w:rPr>
        <w:t>Coonur</w:t>
      </w:r>
      <w:proofErr w:type="spellEnd"/>
      <w:r w:rsidRPr="002569C0">
        <w:rPr>
          <w:rFonts w:ascii="Times New Roman" w:hAnsi="Times New Roman" w:cs="Times New Roman"/>
          <w:sz w:val="24"/>
          <w:szCs w:val="24"/>
        </w:rPr>
        <w:t>.</w:t>
      </w:r>
      <w:r w:rsidRPr="00161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1157E">
        <w:rPr>
          <w:rFonts w:ascii="Times New Roman" w:hAnsi="Times New Roman" w:cs="Times New Roman"/>
          <w:sz w:val="24"/>
          <w:szCs w:val="24"/>
        </w:rPr>
        <w:t xml:space="preserve">ut there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B1157E">
        <w:rPr>
          <w:rFonts w:ascii="Times New Roman" w:hAnsi="Times New Roman" w:cs="Times New Roman"/>
          <w:sz w:val="24"/>
          <w:szCs w:val="24"/>
        </w:rPr>
        <w:t xml:space="preserve"> no specimens find in Goa.</w:t>
      </w:r>
      <w:r w:rsidRPr="002943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D4E" w:rsidRDefault="00D21D4E" w:rsidP="00D21D4E">
      <w:pPr>
        <w:tabs>
          <w:tab w:val="left" w:pos="630"/>
        </w:tabs>
        <w:spacing w:after="0" w:line="240" w:lineRule="auto"/>
        <w:ind w:left="720" w:right="-2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D70">
        <w:rPr>
          <w:rFonts w:ascii="Times New Roman" w:hAnsi="Times New Roman" w:cs="Times New Roman"/>
          <w:b/>
          <w:sz w:val="24"/>
          <w:szCs w:val="24"/>
        </w:rPr>
        <w:t xml:space="preserve">Table 1: Showing </w:t>
      </w:r>
      <w:proofErr w:type="spellStart"/>
      <w:r w:rsidRPr="00C75D70">
        <w:rPr>
          <w:rFonts w:ascii="Times New Roman" w:hAnsi="Times New Roman" w:cs="Times New Roman"/>
          <w:b/>
          <w:i/>
          <w:sz w:val="24"/>
          <w:szCs w:val="24"/>
        </w:rPr>
        <w:t>Usnea</w:t>
      </w:r>
      <w:proofErr w:type="spellEnd"/>
      <w:r w:rsidRPr="00C75D70">
        <w:rPr>
          <w:rFonts w:ascii="Times New Roman" w:hAnsi="Times New Roman" w:cs="Times New Roman"/>
          <w:b/>
          <w:sz w:val="24"/>
          <w:szCs w:val="24"/>
        </w:rPr>
        <w:t xml:space="preserve"> species collected with their locality, Altitude, habitat </w:t>
      </w:r>
    </w:p>
    <w:p w:rsidR="00D21D4E" w:rsidRPr="00C75D70" w:rsidRDefault="00D21D4E" w:rsidP="00D21D4E">
      <w:pPr>
        <w:tabs>
          <w:tab w:val="left" w:pos="630"/>
        </w:tabs>
        <w:spacing w:after="0" w:line="240" w:lineRule="auto"/>
        <w:ind w:left="720" w:right="-2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gramStart"/>
      <w:r w:rsidRPr="00C75D70">
        <w:rPr>
          <w:rFonts w:ascii="Times New Roman" w:hAnsi="Times New Roman" w:cs="Times New Roman"/>
          <w:b/>
          <w:sz w:val="24"/>
          <w:szCs w:val="24"/>
        </w:rPr>
        <w:t>along</w:t>
      </w:r>
      <w:proofErr w:type="gramEnd"/>
      <w:r w:rsidRPr="00C75D70">
        <w:rPr>
          <w:rFonts w:ascii="Times New Roman" w:hAnsi="Times New Roman" w:cs="Times New Roman"/>
          <w:b/>
          <w:sz w:val="24"/>
          <w:szCs w:val="24"/>
        </w:rPr>
        <w:t xml:space="preserve"> the WGs</w:t>
      </w:r>
    </w:p>
    <w:tbl>
      <w:tblPr>
        <w:tblW w:w="906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29"/>
        <w:gridCol w:w="1656"/>
        <w:gridCol w:w="3527"/>
        <w:gridCol w:w="1610"/>
        <w:gridCol w:w="1643"/>
      </w:tblGrid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5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Sl. No.</w:t>
            </w:r>
          </w:p>
        </w:tc>
        <w:tc>
          <w:tcPr>
            <w:tcW w:w="165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5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Species name</w:t>
            </w:r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5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Locality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5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Altitude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5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Habitat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aciculifera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Tamil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nadu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Kodaikanal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2264m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Citrus tree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austro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indica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Sholar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8-9 miles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-Mysore road Botanical garden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tree twig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baileyi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Pykara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forest range shoal near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pykara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 trunk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bismolliscula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Rajamallay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Along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borders of tee plantation, 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1500-1600m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 of tree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complanata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Palni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Kodaikanal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Tree 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compressa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On the way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doddabetta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peak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trees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corallina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On the way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doddabetta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peak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2500-2633m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Twig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dasaea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Sholar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8-9 miles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-Mysore road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tree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eumitriodes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Thenmallay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Tea-estate area near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Munnar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along road side.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 of tree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fragailis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Kottayam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way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Vandiperiyar</w:t>
            </w:r>
            <w:proofErr w:type="spellEnd"/>
          </w:p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ghattensis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Karnataka,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Dakshina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kannada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Sullia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Maharashtra,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Satara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Mahabaleshwar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Pratap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Singh Park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1900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Munnar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Rajamala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hirta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TN,Salem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Dist.Yevcaud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Shevory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Hills,Sanyasi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1400-1500m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Rocks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himalayana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On the way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doddabetta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peak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2633m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trees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himantodes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Madhurai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Kodaikanal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Piller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rocks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cf.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inermis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below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Doddabetta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Peak in Eucalyptus plantation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2250-2400m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 of Eucalyptus tree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lucea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Emerald Beat, opposite &amp; south of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Mukurti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Lake &amp;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peak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2286m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Tree 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leucospilodea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Karnataka,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Shimoga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Sharavati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River basin,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Mattikoppa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Fallen twig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luridorufa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Karnataka,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Dakshina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Kannada,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Sulllia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Subramanya</w:t>
            </w:r>
            <w:proofErr w:type="spellEnd"/>
          </w:p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Kumaraparvata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maculata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Shoals at 8-9 miles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Mysore road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Twigs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nilgirica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Thekkady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Sankunthala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Kadu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PTR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Santalum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album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orientalis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Karnataka,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Chikkamagaluru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</w:t>
            </w:r>
          </w:p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Kemmangundi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Munnar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Rajamala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,1670m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pangiana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Way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Myladumpara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Munnar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Chinnakanal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area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picta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betta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Peak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2438-2621m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Rhododendron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pictoides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Thenmallay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tea estate area near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Munnar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along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road side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Cinnamum</w:t>
            </w:r>
            <w:proofErr w:type="spellEnd"/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pseudosinensis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Munnar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Rajamala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rigidula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Road side Shoals at 8-9 miles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Mysore road Karnataka,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Dakshina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kannada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Subramanya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Kumaraparvata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,1500m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stones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rubicunda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Coonoor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near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Sim’s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Park.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sinensis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betta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Peak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2500-2633m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Twig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spinosula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Tamil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nadu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Kodaikanal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Twig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splendens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Kodanad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in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Shola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near forest rest house.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2042m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stigmata</w:t>
            </w:r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Udakamandalam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Karnataka,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Chikamagalore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Way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Kemmangundi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1842m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,1400m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Rock 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stigmatoides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Ooty-Kotagiri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roadnway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Mayani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from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Doddabetta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road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2134-2286m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Eucalyptus tree trunk at base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subflorida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Avalanche Emerald road, along road side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Munnar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towards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Anajirangal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dam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subfloridana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Tekkady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Periyar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Tiger Reserve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thomsonii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on the way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Doddabetta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Kerala,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Idukki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Munnar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Rajamala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2500-2633m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,1530m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undulata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Tamil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nadu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Kodaikanal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</w:t>
            </w:r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Twig</w:t>
            </w:r>
          </w:p>
        </w:tc>
      </w:tr>
      <w:tr w:rsidR="00D21D4E" w:rsidRPr="00140908" w:rsidTr="00D15F30">
        <w:trPr>
          <w:jc w:val="center"/>
        </w:trPr>
        <w:tc>
          <w:tcPr>
            <w:tcW w:w="62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56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vulneraria</w:t>
            </w:r>
            <w:proofErr w:type="spellEnd"/>
          </w:p>
        </w:tc>
        <w:tc>
          <w:tcPr>
            <w:tcW w:w="3527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TN,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Nilgiri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hills,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Ooty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on the way 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Doddabetta</w:t>
            </w:r>
            <w:proofErr w:type="spellEnd"/>
          </w:p>
        </w:tc>
        <w:tc>
          <w:tcPr>
            <w:tcW w:w="1610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2500-2633m</w:t>
            </w:r>
          </w:p>
        </w:tc>
        <w:tc>
          <w:tcPr>
            <w:tcW w:w="1643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</w:t>
            </w:r>
          </w:p>
        </w:tc>
      </w:tr>
    </w:tbl>
    <w:p w:rsidR="00D21D4E" w:rsidRPr="00D21D4E" w:rsidRDefault="00D21D4E" w:rsidP="00D21D4E">
      <w:pPr>
        <w:widowControl w:val="0"/>
        <w:autoSpaceDE w:val="0"/>
        <w:autoSpaceDN w:val="0"/>
        <w:adjustRightInd w:val="0"/>
        <w:spacing w:before="12" w:after="0" w:line="480" w:lineRule="auto"/>
        <w:ind w:left="720"/>
        <w:jc w:val="both"/>
        <w:rPr>
          <w:rFonts w:ascii="Times New Roman" w:hAnsi="Times New Roman"/>
          <w:sz w:val="14"/>
          <w:szCs w:val="24"/>
        </w:rPr>
      </w:pPr>
    </w:p>
    <w:p w:rsidR="00D21D4E" w:rsidRDefault="00D21D4E" w:rsidP="00D21D4E">
      <w:pPr>
        <w:widowControl w:val="0"/>
        <w:autoSpaceDE w:val="0"/>
        <w:autoSpaceDN w:val="0"/>
        <w:adjustRightInd w:val="0"/>
        <w:spacing w:before="12"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5F6">
        <w:rPr>
          <w:rFonts w:ascii="Times New Roman" w:hAnsi="Times New Roman" w:cs="Times New Roman"/>
          <w:sz w:val="24"/>
          <w:szCs w:val="24"/>
        </w:rPr>
        <w:t xml:space="preserve">All together a total of </w:t>
      </w:r>
      <w:r>
        <w:rPr>
          <w:rFonts w:ascii="Times New Roman" w:hAnsi="Times New Roman"/>
          <w:sz w:val="24"/>
          <w:szCs w:val="24"/>
        </w:rPr>
        <w:t>38</w:t>
      </w:r>
      <w:r w:rsidRPr="0034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1F">
        <w:rPr>
          <w:rFonts w:ascii="Times New Roman" w:hAnsi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/>
          <w:sz w:val="24"/>
          <w:szCs w:val="24"/>
        </w:rPr>
        <w:t xml:space="preserve"> species recorded</w:t>
      </w:r>
      <w:r w:rsidRPr="003455F6">
        <w:rPr>
          <w:rFonts w:ascii="Times New Roman" w:hAnsi="Times New Roman" w:cs="Times New Roman"/>
          <w:sz w:val="24"/>
          <w:szCs w:val="24"/>
        </w:rPr>
        <w:t xml:space="preserve"> from differen</w:t>
      </w:r>
      <w:r>
        <w:rPr>
          <w:rFonts w:ascii="Times New Roman" w:hAnsi="Times New Roman"/>
          <w:sz w:val="24"/>
          <w:szCs w:val="24"/>
        </w:rPr>
        <w:t xml:space="preserve">t localities of the study area. </w:t>
      </w:r>
      <w:r w:rsidRPr="003455F6">
        <w:rPr>
          <w:rFonts w:ascii="Times New Roman" w:hAnsi="Times New Roman" w:cs="Times New Roman"/>
          <w:sz w:val="24"/>
          <w:szCs w:val="24"/>
        </w:rPr>
        <w:t xml:space="preserve">Comparative account on the lichen species of different forest types in </w:t>
      </w:r>
      <w:r>
        <w:rPr>
          <w:rFonts w:ascii="Times New Roman" w:hAnsi="Times New Roman"/>
          <w:sz w:val="24"/>
          <w:szCs w:val="24"/>
        </w:rPr>
        <w:t>study area</w:t>
      </w:r>
      <w:r w:rsidRPr="003455F6">
        <w:rPr>
          <w:rFonts w:ascii="Times New Roman" w:hAnsi="Times New Roman" w:cs="Times New Roman"/>
          <w:sz w:val="24"/>
          <w:szCs w:val="24"/>
        </w:rPr>
        <w:t xml:space="preserve"> has resulted in </w:t>
      </w:r>
      <w:r>
        <w:rPr>
          <w:rFonts w:ascii="Times New Roman" w:hAnsi="Times New Roman"/>
          <w:sz w:val="24"/>
          <w:szCs w:val="24"/>
        </w:rPr>
        <w:t xml:space="preserve">different </w:t>
      </w:r>
      <w:proofErr w:type="spellStart"/>
      <w:r w:rsidRPr="00916E1F">
        <w:rPr>
          <w:rFonts w:ascii="Times New Roman" w:hAnsi="Times New Roman"/>
          <w:i/>
          <w:sz w:val="24"/>
          <w:szCs w:val="24"/>
        </w:rPr>
        <w:t>Usnea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 xml:space="preserve"> species composition</w:t>
      </w:r>
      <w:r>
        <w:rPr>
          <w:rFonts w:ascii="Times New Roman" w:hAnsi="Times New Roman"/>
          <w:sz w:val="24"/>
          <w:szCs w:val="24"/>
        </w:rPr>
        <w:t>.</w:t>
      </w:r>
      <w:r w:rsidRPr="00916E1F">
        <w:rPr>
          <w:rFonts w:ascii="Times New Roman" w:hAnsi="Times New Roman"/>
          <w:sz w:val="24"/>
          <w:szCs w:val="24"/>
        </w:rPr>
        <w:t xml:space="preserve"> </w:t>
      </w:r>
      <w:r w:rsidRPr="003455F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corticolous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1F">
        <w:rPr>
          <w:rFonts w:ascii="Times New Roman" w:hAnsi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/>
          <w:sz w:val="24"/>
          <w:szCs w:val="24"/>
        </w:rPr>
        <w:t xml:space="preserve"> species</w:t>
      </w:r>
      <w:r w:rsidRPr="003455F6">
        <w:rPr>
          <w:rFonts w:ascii="Times New Roman" w:hAnsi="Times New Roman" w:cs="Times New Roman"/>
          <w:sz w:val="24"/>
          <w:szCs w:val="24"/>
        </w:rPr>
        <w:t xml:space="preserve"> were dominated in </w:t>
      </w:r>
      <w:r>
        <w:rPr>
          <w:rFonts w:ascii="Times New Roman" w:hAnsi="Times New Roman"/>
          <w:sz w:val="24"/>
          <w:szCs w:val="24"/>
        </w:rPr>
        <w:t>study area</w:t>
      </w:r>
      <w:r w:rsidRPr="003455F6">
        <w:rPr>
          <w:rFonts w:ascii="Times New Roman" w:hAnsi="Times New Roman" w:cs="Times New Roman"/>
          <w:sz w:val="24"/>
          <w:szCs w:val="24"/>
        </w:rPr>
        <w:t xml:space="preserve"> representing about </w:t>
      </w:r>
      <w:r>
        <w:rPr>
          <w:rFonts w:ascii="Times New Roman" w:hAnsi="Times New Roman"/>
          <w:sz w:val="24"/>
          <w:szCs w:val="24"/>
        </w:rPr>
        <w:t xml:space="preserve">25 species, </w:t>
      </w:r>
      <w:proofErr w:type="spellStart"/>
      <w:r>
        <w:rPr>
          <w:rFonts w:ascii="Times New Roman" w:hAnsi="Times New Roman"/>
          <w:sz w:val="24"/>
          <w:szCs w:val="24"/>
        </w:rPr>
        <w:t>ramicolous</w:t>
      </w:r>
      <w:proofErr w:type="spellEnd"/>
      <w:r>
        <w:rPr>
          <w:rFonts w:ascii="Times New Roman" w:hAnsi="Times New Roman"/>
          <w:sz w:val="24"/>
          <w:szCs w:val="24"/>
        </w:rPr>
        <w:t xml:space="preserve"> 7 species,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saxicolous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3 </w:t>
      </w:r>
      <w:r w:rsidRPr="003455F6">
        <w:rPr>
          <w:rFonts w:ascii="Times New Roman" w:hAnsi="Times New Roman" w:cs="Times New Roman"/>
          <w:sz w:val="24"/>
          <w:szCs w:val="24"/>
        </w:rPr>
        <w:t xml:space="preserve">species and 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terricolous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 xml:space="preserve"> were </w:t>
      </w:r>
      <w:r>
        <w:rPr>
          <w:rFonts w:ascii="Times New Roman" w:hAnsi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species and</w:t>
      </w:r>
      <w:r w:rsidRPr="00345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two</w:t>
      </w:r>
      <w:r w:rsidRPr="003455F6">
        <w:rPr>
          <w:rFonts w:ascii="Times New Roman" w:hAnsi="Times New Roman" w:cs="Times New Roman"/>
          <w:sz w:val="24"/>
          <w:szCs w:val="24"/>
        </w:rPr>
        <w:t xml:space="preserve"> species found as both 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corticolous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saxicolous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(Table-1)</w:t>
      </w:r>
      <w:r>
        <w:rPr>
          <w:rFonts w:ascii="Times New Roman" w:hAnsi="Times New Roman"/>
          <w:sz w:val="24"/>
          <w:szCs w:val="24"/>
        </w:rPr>
        <w:t>.</w:t>
      </w:r>
      <w:r w:rsidRPr="00916E1F">
        <w:rPr>
          <w:rFonts w:ascii="Times New Roman" w:hAnsi="Times New Roman"/>
          <w:sz w:val="24"/>
          <w:szCs w:val="24"/>
        </w:rPr>
        <w:t xml:space="preserve"> </w:t>
      </w:r>
      <w:r w:rsidRPr="003455F6">
        <w:rPr>
          <w:rFonts w:ascii="Times New Roman" w:hAnsi="Times New Roman" w:cs="Times New Roman"/>
          <w:sz w:val="24"/>
          <w:szCs w:val="24"/>
        </w:rPr>
        <w:t xml:space="preserve">In the present study it has been observed that higher level of species diversity existed in relation to the areas sampled </w:t>
      </w: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Pr="003455F6">
        <w:rPr>
          <w:rFonts w:ascii="Times New Roman" w:hAnsi="Times New Roman" w:cs="Times New Roman"/>
          <w:sz w:val="24"/>
          <w:szCs w:val="24"/>
        </w:rPr>
        <w:t>compared to other studies reported from the country (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Awasthi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 xml:space="preserve"> and Joshi, 1977; Singh and 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Sinha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 xml:space="preserve">, 1994; Krishnamurthy and 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Hariharan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 xml:space="preserve">, 1995; 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Negi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Gadgil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 xml:space="preserve"> 1996; Kumar and </w:t>
      </w:r>
      <w:proofErr w:type="spellStart"/>
      <w:r w:rsidRPr="003455F6">
        <w:rPr>
          <w:rFonts w:ascii="Times New Roman" w:hAnsi="Times New Roman" w:cs="Times New Roman"/>
          <w:sz w:val="24"/>
          <w:szCs w:val="24"/>
        </w:rPr>
        <w:t>Stphen</w:t>
      </w:r>
      <w:proofErr w:type="spellEnd"/>
      <w:r w:rsidRPr="003455F6">
        <w:rPr>
          <w:rFonts w:ascii="Times New Roman" w:hAnsi="Times New Roman" w:cs="Times New Roman"/>
          <w:sz w:val="24"/>
          <w:szCs w:val="24"/>
        </w:rPr>
        <w:t>, 1996</w:t>
      </w:r>
      <w:r>
        <w:rPr>
          <w:rFonts w:ascii="Times New Roman" w:hAnsi="Times New Roman" w:cs="Times New Roman"/>
          <w:sz w:val="24"/>
          <w:szCs w:val="24"/>
        </w:rPr>
        <w:t>, 2002</w:t>
      </w:r>
      <w:r w:rsidRPr="003455F6">
        <w:rPr>
          <w:rFonts w:ascii="Times New Roman" w:hAnsi="Times New Roman" w:cs="Times New Roman"/>
          <w:sz w:val="24"/>
          <w:szCs w:val="24"/>
        </w:rPr>
        <w:t>).</w:t>
      </w:r>
      <w:r w:rsidRPr="00916E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Among different forest types in </w:t>
      </w:r>
      <w:r>
        <w:rPr>
          <w:rFonts w:ascii="Times New Roman" w:hAnsi="Times New Roman"/>
          <w:color w:val="000000"/>
          <w:sz w:val="24"/>
          <w:szCs w:val="24"/>
        </w:rPr>
        <w:t>Karnataka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montane</w:t>
      </w:r>
      <w:proofErr w:type="spellEnd"/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(shoal)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 forests supported more number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 species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occurred it is 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>followed by moist and dry deciduous forests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16E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The lichens growth is influenced by substrates and microclimate. In the study area distribution pattern of </w:t>
      </w:r>
      <w:proofErr w:type="spellStart"/>
      <w:r w:rsidRPr="00B57A71">
        <w:rPr>
          <w:rFonts w:ascii="Times New Roman" w:hAnsi="Times New Roman"/>
          <w:i/>
          <w:color w:val="000000"/>
          <w:sz w:val="24"/>
          <w:szCs w:val="24"/>
        </w:rPr>
        <w:t>Usnea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species 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varies with the availability of substrates like bark, wood, rock, twig and soil. Most species of </w:t>
      </w:r>
      <w:proofErr w:type="spellStart"/>
      <w:r w:rsidRPr="00B57A71">
        <w:rPr>
          <w:rFonts w:ascii="Times New Roman" w:hAnsi="Times New Roman"/>
          <w:i/>
          <w:color w:val="000000"/>
          <w:sz w:val="24"/>
          <w:szCs w:val="24"/>
        </w:rPr>
        <w:t>Usnea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species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 were dominated on the main stem (</w:t>
      </w:r>
      <w:r>
        <w:rPr>
          <w:rFonts w:ascii="Times New Roman" w:hAnsi="Times New Roman"/>
          <w:color w:val="000000"/>
          <w:sz w:val="24"/>
          <w:szCs w:val="24"/>
        </w:rPr>
        <w:t>71%) followed by twig (18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%) and </w:t>
      </w:r>
      <w:r>
        <w:rPr>
          <w:rFonts w:ascii="Times New Roman" w:hAnsi="Times New Roman"/>
          <w:color w:val="000000"/>
          <w:sz w:val="24"/>
          <w:szCs w:val="24"/>
        </w:rPr>
        <w:t>soil</w:t>
      </w:r>
      <w:r w:rsidRPr="006C7474">
        <w:rPr>
          <w:rFonts w:ascii="Times New Roman" w:hAnsi="Times New Roman" w:cs="Times New Roman"/>
          <w:color w:val="000000"/>
          <w:sz w:val="24"/>
          <w:szCs w:val="24"/>
        </w:rPr>
        <w:t xml:space="preserve"> supported for less number of lichens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1D4E" w:rsidRPr="00B57A71" w:rsidRDefault="00D21D4E" w:rsidP="00D21D4E">
      <w:pPr>
        <w:spacing w:line="360" w:lineRule="auto"/>
        <w:ind w:left="142" w:right="-2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A71">
        <w:rPr>
          <w:rFonts w:ascii="Times New Roman" w:hAnsi="Times New Roman" w:cs="Times New Roman"/>
          <w:b/>
          <w:sz w:val="24"/>
          <w:szCs w:val="24"/>
        </w:rPr>
        <w:t xml:space="preserve">Table 2: Showing </w:t>
      </w:r>
      <w:proofErr w:type="spellStart"/>
      <w:r w:rsidRPr="00B57A71">
        <w:rPr>
          <w:rFonts w:ascii="Times New Roman" w:hAnsi="Times New Roman" w:cs="Times New Roman"/>
          <w:b/>
          <w:i/>
          <w:sz w:val="24"/>
          <w:szCs w:val="24"/>
        </w:rPr>
        <w:t>Usnea</w:t>
      </w:r>
      <w:proofErr w:type="spellEnd"/>
      <w:r w:rsidRPr="00B57A71">
        <w:rPr>
          <w:rFonts w:ascii="Times New Roman" w:hAnsi="Times New Roman" w:cs="Times New Roman"/>
          <w:b/>
          <w:sz w:val="24"/>
          <w:szCs w:val="24"/>
        </w:rPr>
        <w:t xml:space="preserve"> species with their chemical substance and colour test reaction</w:t>
      </w:r>
    </w:p>
    <w:tbl>
      <w:tblPr>
        <w:tblW w:w="86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36"/>
        <w:gridCol w:w="2731"/>
        <w:gridCol w:w="5039"/>
      </w:tblGrid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032BDB" w:rsidRDefault="00D21D4E" w:rsidP="00D15F30">
            <w:pPr>
              <w:tabs>
                <w:tab w:val="left" w:pos="728"/>
              </w:tabs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32BDB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lastRenderedPageBreak/>
              <w:t>Sl. No.</w:t>
            </w:r>
          </w:p>
        </w:tc>
        <w:tc>
          <w:tcPr>
            <w:tcW w:w="2731" w:type="dxa"/>
          </w:tcPr>
          <w:p w:rsidR="00D21D4E" w:rsidRPr="00032BDB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32BDB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>Species name</w:t>
            </w:r>
          </w:p>
        </w:tc>
        <w:tc>
          <w:tcPr>
            <w:tcW w:w="5039" w:type="dxa"/>
          </w:tcPr>
          <w:p w:rsidR="00D21D4E" w:rsidRPr="00032BDB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32BDB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>Chemical substances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aciculifera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austro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indica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baileyi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yellow spot 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bismolliscula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complanata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ind w:right="-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Galbinic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compressa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corallina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Galbinic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(Trace)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dasaea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Protocetraric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eumitriodes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fragailis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ghattensis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 substance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 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hirta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himalayana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himantodes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</w:t>
            </w:r>
          </w:p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cf.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inermis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ind w:right="-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psoromic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2-O-demethyl-psoromic acid (traces)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(trace)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lucea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leucospilodea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luridorufa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,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present&amp;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maculata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Proto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cetraric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nilgirica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and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fumarprotocetraric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acid.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orientalis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Tartaric and barbaric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orientalis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Tartaric and barbaric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pangiana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proofErr w:type="gram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diffractic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picta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pictoides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persomic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pseudosinensis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Psoromic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rigidula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rubicunda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 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sinensis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only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spinosula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 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splendens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accid</w:t>
            </w:r>
            <w:proofErr w:type="spellEnd"/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stigmata</w:t>
            </w:r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(in trace),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menegazziaic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cryptostictic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acids.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stigmatoides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and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complex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subflorida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protocetric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barbatic</w:t>
            </w:r>
            <w:proofErr w:type="spellEnd"/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subfloridana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thomsonii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undulata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galbinic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acid.</w:t>
            </w:r>
          </w:p>
        </w:tc>
      </w:tr>
      <w:tr w:rsidR="00D21D4E" w:rsidRPr="00140908" w:rsidTr="00D21D4E">
        <w:trPr>
          <w:jc w:val="center"/>
        </w:trPr>
        <w:tc>
          <w:tcPr>
            <w:tcW w:w="836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31" w:type="dxa"/>
          </w:tcPr>
          <w:p w:rsidR="00D21D4E" w:rsidRPr="00B658BD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8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vulneraria</w:t>
            </w:r>
            <w:proofErr w:type="spellEnd"/>
          </w:p>
        </w:tc>
        <w:tc>
          <w:tcPr>
            <w:tcW w:w="5039" w:type="dxa"/>
          </w:tcPr>
          <w:p w:rsidR="00D21D4E" w:rsidRPr="00EA54D8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acid,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Norstictic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salazinic</w:t>
            </w:r>
            <w:proofErr w:type="spellEnd"/>
            <w:r w:rsidRPr="00EA5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acids</w:t>
            </w:r>
          </w:p>
        </w:tc>
      </w:tr>
    </w:tbl>
    <w:p w:rsidR="00D21D4E" w:rsidRPr="00D21D4E" w:rsidRDefault="00D21D4E" w:rsidP="00D21D4E">
      <w:pPr>
        <w:widowControl w:val="0"/>
        <w:autoSpaceDE w:val="0"/>
        <w:autoSpaceDN w:val="0"/>
        <w:adjustRightInd w:val="0"/>
        <w:spacing w:before="12" w:after="0" w:line="48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D21D4E" w:rsidRPr="00D21D4E" w:rsidRDefault="00D21D4E" w:rsidP="00D21D4E">
      <w:pPr>
        <w:widowControl w:val="0"/>
        <w:autoSpaceDE w:val="0"/>
        <w:autoSpaceDN w:val="0"/>
        <w:adjustRightInd w:val="0"/>
        <w:spacing w:before="12" w:after="0" w:line="480" w:lineRule="auto"/>
        <w:ind w:firstLine="72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carried out the TLC and colour test for collected lichen species. </w:t>
      </w:r>
      <w:proofErr w:type="spellStart"/>
      <w:r>
        <w:rPr>
          <w:rFonts w:ascii="Times New Roman" w:hAnsi="Times New Roman" w:cs="Times New Roman"/>
          <w:sz w:val="24"/>
          <w:szCs w:val="24"/>
        </w:rPr>
        <w:t>Usnic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is found in majority of the species followed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stictic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</w:t>
      </w:r>
      <w:proofErr w:type="spellStart"/>
      <w:r>
        <w:rPr>
          <w:rFonts w:ascii="Times New Roman" w:hAnsi="Times New Roman" w:cs="Times New Roman"/>
          <w:sz w:val="24"/>
          <w:szCs w:val="24"/>
        </w:rPr>
        <w:t>slazinic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Norstictic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(Fig-1;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Table-2). Results of the colour test showed that P and K test shown by some of the </w:t>
      </w:r>
      <w:proofErr w:type="spellStart"/>
      <w:r w:rsidRPr="008B0920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species (Table-3). </w:t>
      </w:r>
    </w:p>
    <w:p w:rsidR="00D21D4E" w:rsidRDefault="00D21D4E" w:rsidP="00D21D4E">
      <w:pPr>
        <w:widowControl w:val="0"/>
        <w:autoSpaceDE w:val="0"/>
        <w:autoSpaceDN w:val="0"/>
        <w:adjustRightInd w:val="0"/>
        <w:spacing w:before="12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5815" cy="2893445"/>
            <wp:effectExtent l="13899" t="9260" r="9266" b="5595"/>
            <wp:docPr id="1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21D4E" w:rsidRDefault="00D21D4E" w:rsidP="00D21D4E">
      <w:pPr>
        <w:widowControl w:val="0"/>
        <w:autoSpaceDE w:val="0"/>
        <w:autoSpaceDN w:val="0"/>
        <w:adjustRightInd w:val="0"/>
        <w:spacing w:after="0" w:line="360" w:lineRule="auto"/>
        <w:ind w:left="720" w:right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 1: Pi Chart showing distribution of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D4E" w:rsidRPr="00D21D4E" w:rsidRDefault="00D21D4E" w:rsidP="00D21D4E">
      <w:pPr>
        <w:rPr>
          <w:rFonts w:ascii="Times New Roman" w:hAnsi="Times New Roman" w:cs="Times New Roman"/>
          <w:sz w:val="2"/>
        </w:rPr>
      </w:pPr>
    </w:p>
    <w:p w:rsidR="00D21D4E" w:rsidRPr="00F3442C" w:rsidRDefault="00D21D4E" w:rsidP="00D21D4E">
      <w:pPr>
        <w:rPr>
          <w:rFonts w:ascii="Times New Roman" w:hAnsi="Times New Roman" w:cs="Times New Roman"/>
        </w:rPr>
      </w:pPr>
      <w:r w:rsidRPr="00F3442C">
        <w:rPr>
          <w:rFonts w:ascii="Times New Roman" w:hAnsi="Times New Roman" w:cs="Times New Roman"/>
        </w:rPr>
        <w:t xml:space="preserve">Table 3: Showing the results of various colour tests conducted on </w:t>
      </w:r>
      <w:proofErr w:type="spellStart"/>
      <w:r w:rsidRPr="00F3442C">
        <w:rPr>
          <w:rFonts w:ascii="Times New Roman" w:hAnsi="Times New Roman" w:cs="Times New Roman"/>
        </w:rPr>
        <w:t>thallus</w:t>
      </w:r>
      <w:proofErr w:type="spellEnd"/>
      <w:r w:rsidRPr="00F3442C">
        <w:rPr>
          <w:rFonts w:ascii="Times New Roman" w:hAnsi="Times New Roman" w:cs="Times New Roman"/>
        </w:rPr>
        <w:t xml:space="preserve"> of </w:t>
      </w:r>
      <w:proofErr w:type="spellStart"/>
      <w:r w:rsidRPr="00F3442C">
        <w:rPr>
          <w:rFonts w:ascii="Times New Roman" w:hAnsi="Times New Roman" w:cs="Times New Roman"/>
          <w:i/>
        </w:rPr>
        <w:t>Usnea</w:t>
      </w:r>
      <w:proofErr w:type="spellEnd"/>
      <w:r w:rsidRPr="00F3442C">
        <w:rPr>
          <w:rFonts w:ascii="Times New Roman" w:hAnsi="Times New Roman" w:cs="Times New Roman"/>
        </w:rPr>
        <w:t xml:space="preserve"> species</w:t>
      </w:r>
    </w:p>
    <w:tbl>
      <w:tblPr>
        <w:tblW w:w="88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08"/>
        <w:gridCol w:w="3631"/>
        <w:gridCol w:w="1384"/>
        <w:gridCol w:w="1397"/>
        <w:gridCol w:w="1385"/>
      </w:tblGrid>
      <w:tr w:rsidR="00D21D4E" w:rsidTr="00D15F30">
        <w:trPr>
          <w:trHeight w:val="507"/>
        </w:trPr>
        <w:tc>
          <w:tcPr>
            <w:tcW w:w="1008" w:type="dxa"/>
            <w:vMerge w:val="restart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05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Sl.</w:t>
            </w:r>
          </w:p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05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No.</w:t>
            </w:r>
          </w:p>
        </w:tc>
        <w:tc>
          <w:tcPr>
            <w:tcW w:w="3631" w:type="dxa"/>
            <w:vMerge w:val="restart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05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Species name</w:t>
            </w:r>
          </w:p>
        </w:tc>
        <w:tc>
          <w:tcPr>
            <w:tcW w:w="4166" w:type="dxa"/>
            <w:gridSpan w:val="3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05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Colour test</w:t>
            </w:r>
          </w:p>
        </w:tc>
      </w:tr>
      <w:tr w:rsidR="00D21D4E" w:rsidTr="00D15F30">
        <w:trPr>
          <w:trHeight w:val="340"/>
        </w:trPr>
        <w:tc>
          <w:tcPr>
            <w:tcW w:w="1008" w:type="dxa"/>
            <w:vMerge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vMerge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05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 test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05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 test</w:t>
            </w:r>
          </w:p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05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 test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aciculifera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austro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indica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baileyi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bismolliscula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complanata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compressa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corallina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dasaea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eumitriodes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fragailis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ghattensis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hirta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himalayana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himantodes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cf.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inermis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leucospilodea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lucea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luridorufa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maculata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nilgirica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orientalis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pangiana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picta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pictoides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pseudosinensis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rigidula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rubicunda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sinensis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spinosula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splendens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stigmata</w:t>
            </w:r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stigmatoides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subflorida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subfloridana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thomsonii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undulata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  <w:tr w:rsidR="00D21D4E" w:rsidTr="00D15F30">
        <w:tc>
          <w:tcPr>
            <w:tcW w:w="1008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31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Usnea</w:t>
            </w:r>
            <w:proofErr w:type="spellEnd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5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vulneraria</w:t>
            </w:r>
            <w:proofErr w:type="spellEnd"/>
          </w:p>
        </w:tc>
        <w:tc>
          <w:tcPr>
            <w:tcW w:w="1384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97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5" w:type="dxa"/>
          </w:tcPr>
          <w:p w:rsidR="00D21D4E" w:rsidRPr="008D0555" w:rsidRDefault="00D21D4E" w:rsidP="00D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8D0555">
              <w:rPr>
                <w:rFonts w:ascii="Arial" w:hAnsi="Arial"/>
                <w:color w:val="000000"/>
                <w:sz w:val="24"/>
                <w:szCs w:val="24"/>
              </w:rPr>
              <w:t>-</w:t>
            </w:r>
          </w:p>
        </w:tc>
      </w:tr>
    </w:tbl>
    <w:p w:rsidR="00D21D4E" w:rsidRPr="001151A9" w:rsidRDefault="00D21D4E" w:rsidP="00D21D4E">
      <w:pPr>
        <w:widowControl w:val="0"/>
        <w:tabs>
          <w:tab w:val="left" w:pos="9450"/>
        </w:tabs>
        <w:autoSpaceDE w:val="0"/>
        <w:autoSpaceDN w:val="0"/>
        <w:adjustRightInd w:val="0"/>
        <w:spacing w:after="0" w:line="36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Microclimate and altitude are playing key role in the distribution of </w:t>
      </w:r>
      <w:proofErr w:type="spellStart"/>
      <w:r w:rsidRPr="008B0920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species along the Western Ghats. An altitude of 2000m-2500m supported for more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species (Fig-2). Based on the substrates majority of </w:t>
      </w:r>
      <w:proofErr w:type="spellStart"/>
      <w:r w:rsidRPr="008B0920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species were growing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corticolous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(Fig-3). </w:t>
      </w:r>
    </w:p>
    <w:p w:rsidR="00D21D4E" w:rsidRPr="001151A9" w:rsidRDefault="00D21D4E" w:rsidP="00D21D4E">
      <w:pPr>
        <w:widowControl w:val="0"/>
        <w:autoSpaceDE w:val="0"/>
        <w:autoSpaceDN w:val="0"/>
        <w:adjustRightInd w:val="0"/>
        <w:spacing w:after="0" w:line="360" w:lineRule="auto"/>
        <w:ind w:right="6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90867" cy="2574772"/>
            <wp:effectExtent l="19050" t="0" r="19333" b="0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1D4E" w:rsidRDefault="00D21D4E" w:rsidP="00D21D4E">
      <w:pPr>
        <w:widowControl w:val="0"/>
        <w:autoSpaceDE w:val="0"/>
        <w:autoSpaceDN w:val="0"/>
        <w:adjustRightInd w:val="0"/>
        <w:spacing w:after="0" w:line="360" w:lineRule="auto"/>
        <w:ind w:right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Fig 2: Graph showing distribution of </w:t>
      </w:r>
      <w:proofErr w:type="spellStart"/>
      <w:r w:rsidRPr="000D5776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different altitude.</w:t>
      </w:r>
    </w:p>
    <w:p w:rsidR="00D21D4E" w:rsidRDefault="00D21D4E" w:rsidP="00D21D4E">
      <w:pPr>
        <w:widowControl w:val="0"/>
        <w:autoSpaceDE w:val="0"/>
        <w:autoSpaceDN w:val="0"/>
        <w:adjustRightInd w:val="0"/>
        <w:spacing w:after="0" w:line="360" w:lineRule="auto"/>
        <w:ind w:right="602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33669" cy="2484097"/>
            <wp:effectExtent l="19050" t="0" r="24031" b="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1D4E" w:rsidRDefault="00D21D4E" w:rsidP="00D21D4E">
      <w:pPr>
        <w:widowControl w:val="0"/>
        <w:autoSpaceDE w:val="0"/>
        <w:autoSpaceDN w:val="0"/>
        <w:adjustRightInd w:val="0"/>
        <w:spacing w:after="0" w:line="360" w:lineRule="auto"/>
        <w:ind w:right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 3: Graph showing Growth form of </w:t>
      </w:r>
      <w:proofErr w:type="spellStart"/>
      <w:r w:rsidRPr="000D5776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different substrates</w:t>
      </w:r>
    </w:p>
    <w:p w:rsidR="00D21D4E" w:rsidRPr="0083547D" w:rsidRDefault="00D21D4E" w:rsidP="00D21D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93.05pt;margin-top:304.6pt;width:29.3pt;height:31.65pt;z-index:251670528" filled="f" stroked="f">
            <v:textbox>
              <w:txbxContent>
                <w:p w:rsidR="00D21D4E" w:rsidRPr="00542899" w:rsidRDefault="00D21D4E" w:rsidP="00D21D4E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542899">
                    <w:rPr>
                      <w:rFonts w:ascii="Times New Roman" w:hAnsi="Times New Roman" w:cs="Times New Roman"/>
                      <w:sz w:val="48"/>
                      <w:szCs w:val="4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86.4pt;margin-top:314.9pt;width:24.55pt;height:21.35pt;z-index:251675648" filled="f" stroked="f">
            <v:textbox>
              <w:txbxContent>
                <w:p w:rsidR="00D21D4E" w:rsidRDefault="00D21D4E" w:rsidP="00D21D4E"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29.45pt;margin-top:272.2pt;width:16.6pt;height:18.15pt;z-index:251674624" filled="f" stroked="f">
            <v:textbox>
              <w:txbxContent>
                <w:p w:rsidR="00D21D4E" w:rsidRDefault="00D21D4E" w:rsidP="00D21D4E"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29.45pt;margin-top:296.7pt;width:16.6pt;height:18.2pt;z-index:251673600" filled="f" stroked="f">
            <v:textbox>
              <w:txbxContent>
                <w:p w:rsidR="00D21D4E" w:rsidRDefault="00D21D4E" w:rsidP="00D21D4E"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80.4pt;margin-top:277.7pt;width:22.95pt;height:22.95pt;z-index:251672576" filled="f" stroked="f">
            <v:textbox>
              <w:txbxContent>
                <w:p w:rsidR="00D21D4E" w:rsidRPr="00542899" w:rsidRDefault="00D21D4E" w:rsidP="00D21D4E">
                  <w:pPr>
                    <w:rPr>
                      <w:b/>
                    </w:rPr>
                  </w:pPr>
                  <w:r w:rsidRPr="00542899"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03.35pt;margin-top:254pt;width:19pt;height:18.2pt;z-index:251671552" filled="f" stroked="f">
            <v:textbox>
              <w:txbxContent>
                <w:p w:rsidR="00D21D4E" w:rsidRPr="00542899" w:rsidRDefault="00D21D4E" w:rsidP="00D21D4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4289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03.05pt;margin-top:170.9pt;width:28.45pt;height:35.6pt;z-index:251669504" filled="f" stroked="f">
            <v:textbox>
              <w:txbxContent>
                <w:p w:rsidR="00D21D4E" w:rsidRPr="00542899" w:rsidRDefault="00D21D4E" w:rsidP="00D21D4E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542899">
                    <w:rPr>
                      <w:rFonts w:ascii="Times New Roman" w:hAnsi="Times New Roman" w:cs="Times New Roman"/>
                      <w:sz w:val="48"/>
                      <w:szCs w:val="4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70.4pt;margin-top:144.8pt;width:64.1pt;height:30.85pt;z-index:251668480" filled="f" stroked="f">
            <v:textbox>
              <w:txbxContent>
                <w:p w:rsidR="00D21D4E" w:rsidRPr="00542899" w:rsidRDefault="00D21D4E" w:rsidP="00D21D4E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542899">
                    <w:rPr>
                      <w:rFonts w:ascii="Times New Roman" w:hAnsi="Times New Roman" w:cs="Times New Roman"/>
                      <w:sz w:val="48"/>
                      <w:szCs w:val="48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03.35pt;margin-top:144.8pt;width:42.7pt;height:30.85pt;z-index:251667456" filled="f" stroked="f" strokecolor="white">
            <v:textbox>
              <w:txbxContent>
                <w:p w:rsidR="00D21D4E" w:rsidRPr="00542899" w:rsidRDefault="00D21D4E" w:rsidP="00D21D4E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542899">
                    <w:rPr>
                      <w:rFonts w:ascii="Times New Roman" w:hAnsi="Times New Roman" w:cs="Times New Roman"/>
                      <w:sz w:val="48"/>
                      <w:szCs w:val="48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2" style="position:absolute;margin-left:399.55pt;margin-top:246.85pt;width:8.7pt;height:7.15pt;z-index:251666432" fillcolor="#7030a0"/>
        </w:pict>
      </w:r>
      <w:r>
        <w:rPr>
          <w:noProof/>
        </w:rPr>
        <w:pict>
          <v:rect id="_x0000_s1031" style="position:absolute;margin-left:399.55pt;margin-top:224.7pt;width:8.7pt;height:7.15pt;z-index:251665408" fillcolor="#92cddc"/>
        </w:pict>
      </w:r>
      <w:r>
        <w:rPr>
          <w:noProof/>
        </w:rPr>
        <w:pict>
          <v:rect id="_x0000_s1030" style="position:absolute;margin-left:399.55pt;margin-top:196.2pt;width:8.7pt;height:4pt;z-index:251664384" fillcolor="#92d050"/>
        </w:pict>
      </w:r>
      <w:r>
        <w:rPr>
          <w:noProof/>
        </w:rPr>
        <w:pict>
          <v:rect id="_x0000_s1029" style="position:absolute;margin-left:399.55pt;margin-top:170.9pt;width:8.7pt;height:9.45pt;z-index:251663360" fillcolor="#f06"/>
        </w:pict>
      </w:r>
      <w:r>
        <w:rPr>
          <w:noProof/>
        </w:rPr>
        <w:pict>
          <v:rect id="_x0000_s1028" style="position:absolute;margin-left:399.55pt;margin-top:144.8pt;width:8.7pt;height:6.3pt;z-index:251662336" fillcolor="#a50021"/>
        </w:pict>
      </w:r>
      <w:r>
        <w:rPr>
          <w:noProof/>
        </w:rPr>
        <w:pict>
          <v:shape id="_x0000_s1027" type="#_x0000_t202" style="position:absolute;margin-left:374.25pt;margin-top:140pt;width:119.5pt;height:150.35pt;z-index:251661312">
            <v:textbox>
              <w:txbxContent>
                <w:p w:rsidR="00D21D4E" w:rsidRDefault="00D21D4E" w:rsidP="00D21D4E">
                  <w:r>
                    <w:t xml:space="preserve"> </w:t>
                  </w:r>
                  <w:r>
                    <w:tab/>
                    <w:t xml:space="preserve">Tamil </w:t>
                  </w:r>
                  <w:proofErr w:type="spellStart"/>
                  <w:r>
                    <w:t>nadu</w:t>
                  </w:r>
                  <w:proofErr w:type="spellEnd"/>
                </w:p>
                <w:p w:rsidR="00D21D4E" w:rsidRDefault="00D21D4E" w:rsidP="00D21D4E">
                  <w:pPr>
                    <w:ind w:left="360" w:firstLine="360"/>
                  </w:pPr>
                  <w:r>
                    <w:t xml:space="preserve">Kerala </w:t>
                  </w:r>
                </w:p>
                <w:p w:rsidR="00D21D4E" w:rsidRDefault="00D21D4E" w:rsidP="00D21D4E">
                  <w:pPr>
                    <w:ind w:firstLine="720"/>
                  </w:pPr>
                  <w:r>
                    <w:t>Karnataka</w:t>
                  </w:r>
                </w:p>
                <w:p w:rsidR="00D21D4E" w:rsidRDefault="00D21D4E" w:rsidP="00D21D4E">
                  <w:pPr>
                    <w:ind w:firstLine="720"/>
                  </w:pPr>
                  <w:r>
                    <w:t>Maharashtra</w:t>
                  </w:r>
                </w:p>
                <w:p w:rsidR="00D21D4E" w:rsidRDefault="00D21D4E" w:rsidP="00D21D4E">
                  <w:pPr>
                    <w:ind w:firstLine="720"/>
                  </w:pPr>
                  <w:r>
                    <w:t>Goa</w:t>
                  </w:r>
                </w:p>
                <w:p w:rsidR="00D21D4E" w:rsidRDefault="00D21D4E" w:rsidP="00D21D4E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792345" cy="4582795"/>
            <wp:effectExtent l="19050" t="0" r="825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45" cy="458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D4E" w:rsidRDefault="00D21D4E" w:rsidP="00D21D4E">
      <w:pPr>
        <w:widowControl w:val="0"/>
        <w:autoSpaceDE w:val="0"/>
        <w:autoSpaceDN w:val="0"/>
        <w:adjustRightInd w:val="0"/>
        <w:spacing w:after="0" w:line="360" w:lineRule="auto"/>
        <w:ind w:right="-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 4: Venn diagram showing distribution of </w:t>
      </w:r>
      <w:proofErr w:type="spellStart"/>
      <w:r w:rsidRPr="007C78D4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genus in different states of Western Ghats</w:t>
      </w:r>
    </w:p>
    <w:p w:rsidR="00D21D4E" w:rsidRDefault="00D21D4E" w:rsidP="00D21D4E">
      <w:pPr>
        <w:widowControl w:val="0"/>
        <w:autoSpaceDE w:val="0"/>
        <w:autoSpaceDN w:val="0"/>
        <w:adjustRightInd w:val="0"/>
        <w:spacing w:after="0" w:line="36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Western Ghats distributed a total of 1600kn along the five states of Southern India. </w:t>
      </w:r>
      <w:proofErr w:type="spellStart"/>
      <w:r w:rsidRPr="00CD6B8F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genus mainly distributed in Kerala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Taminalnadu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states and no </w:t>
      </w:r>
      <w:proofErr w:type="spellStart"/>
      <w:r w:rsidRPr="00CD6B8F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species found in Goa state. Based on our study we find new locality for distribution and five new reports of </w:t>
      </w:r>
      <w:proofErr w:type="spellStart"/>
      <w:r w:rsidRPr="00CD6B8F">
        <w:rPr>
          <w:rFonts w:ascii="Times New Roman" w:hAnsi="Times New Roman" w:cs="Times New Roman"/>
          <w:i/>
          <w:sz w:val="24"/>
          <w:szCs w:val="24"/>
        </w:rPr>
        <w:t>Usnea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Karnataka. Further work is in progress.</w:t>
      </w:r>
    </w:p>
    <w:p w:rsidR="00C70AD9" w:rsidRDefault="00C70AD9"/>
    <w:sectPr w:rsidR="00C70AD9" w:rsidSect="00D21D4E">
      <w:pgSz w:w="11906" w:h="16838"/>
      <w:pgMar w:top="107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D21D4E"/>
    <w:rsid w:val="00C70AD9"/>
    <w:rsid w:val="00D2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neha\Desktop\graph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neha\Desktop\graph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ST%20Project\serb%20formats\graph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roundedCorners val="1"/>
  <c:chart>
    <c:plotArea>
      <c:layout/>
      <c:pieChart>
        <c:varyColors val="1"/>
        <c:ser>
          <c:idx val="0"/>
          <c:order val="0"/>
          <c:cat>
            <c:strRef>
              <c:f>Sheet1!$A$1:$A$17</c:f>
              <c:strCache>
                <c:ptCount val="17"/>
                <c:pt idx="0">
                  <c:v>Usnic acid</c:v>
                </c:pt>
                <c:pt idx="1">
                  <c:v>stictic acid</c:v>
                </c:pt>
                <c:pt idx="2">
                  <c:v>Constictic acid</c:v>
                </c:pt>
                <c:pt idx="3">
                  <c:v>Barbatic acid</c:v>
                </c:pt>
                <c:pt idx="4">
                  <c:v>Norstictic acid</c:v>
                </c:pt>
                <c:pt idx="5">
                  <c:v>Galbinic acid</c:v>
                </c:pt>
                <c:pt idx="6">
                  <c:v>Salazinic acid</c:v>
                </c:pt>
                <c:pt idx="7">
                  <c:v>Protocetraric acid</c:v>
                </c:pt>
                <c:pt idx="8">
                  <c:v>Psoromic acid</c:v>
                </c:pt>
                <c:pt idx="9">
                  <c:v>2-O-demethyl-psoromic acid</c:v>
                </c:pt>
                <c:pt idx="10">
                  <c:v>Fumarprotocetraric acid</c:v>
                </c:pt>
                <c:pt idx="11">
                  <c:v>Tartaric acid</c:v>
                </c:pt>
                <c:pt idx="12">
                  <c:v>Diffractic acid</c:v>
                </c:pt>
                <c:pt idx="13">
                  <c:v>Pictic acid complex</c:v>
                </c:pt>
                <c:pt idx="14">
                  <c:v>Persomic acid</c:v>
                </c:pt>
                <c:pt idx="15">
                  <c:v>Stictic menegazziaic acid</c:v>
                </c:pt>
                <c:pt idx="16">
                  <c:v>Crypto stictic</c:v>
                </c:pt>
              </c:strCache>
            </c:strRef>
          </c:cat>
          <c:val>
            <c:numRef>
              <c:f>Sheet1!$B$1:$B$17</c:f>
              <c:numCache>
                <c:formatCode>General</c:formatCode>
                <c:ptCount val="17"/>
                <c:pt idx="0">
                  <c:v>38</c:v>
                </c:pt>
                <c:pt idx="1">
                  <c:v>12</c:v>
                </c:pt>
                <c:pt idx="2">
                  <c:v>2</c:v>
                </c:pt>
                <c:pt idx="3">
                  <c:v>7</c:v>
                </c:pt>
                <c:pt idx="4">
                  <c:v>9</c:v>
                </c:pt>
                <c:pt idx="5">
                  <c:v>3</c:v>
                </c:pt>
                <c:pt idx="6">
                  <c:v>10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4969444268702112"/>
          <c:y val="9.5711206004299706E-2"/>
          <c:w val="0.25030555731298032"/>
          <c:h val="0.77335745522853661"/>
        </c:manualLayout>
      </c:layout>
      <c:txPr>
        <a:bodyPr/>
        <a:lstStyle/>
        <a:p>
          <a:pPr>
            <a:defRPr lang="en-IN"/>
          </a:pPr>
          <a:endParaRPr lang="en-US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roundedCorners val="1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6.6783947718606101E-2"/>
          <c:y val="1.6135086537002213E-2"/>
          <c:w val="0.89248653659032151"/>
          <c:h val="0.83188527271027746"/>
        </c:manualLayout>
      </c:layout>
      <c:bar3DChart>
        <c:barDir val="col"/>
        <c:grouping val="clustered"/>
        <c:ser>
          <c:idx val="0"/>
          <c:order val="0"/>
          <c:tx>
            <c:strRef>
              <c:f>Sheet1!$E$79</c:f>
              <c:strCache>
                <c:ptCount val="1"/>
                <c:pt idx="0">
                  <c:v>Number of Lichens</c:v>
                </c:pt>
              </c:strCache>
            </c:strRef>
          </c:tx>
          <c:cat>
            <c:strRef>
              <c:f>Sheet1!$D$80:$D$85</c:f>
              <c:strCache>
                <c:ptCount val="6"/>
                <c:pt idx="0">
                  <c:v>0-500</c:v>
                </c:pt>
                <c:pt idx="1">
                  <c:v>500-1000</c:v>
                </c:pt>
                <c:pt idx="2">
                  <c:v>1000-1500</c:v>
                </c:pt>
                <c:pt idx="3">
                  <c:v>1500-2000</c:v>
                </c:pt>
                <c:pt idx="4">
                  <c:v>2000-2500</c:v>
                </c:pt>
                <c:pt idx="5">
                  <c:v>2500-3000</c:v>
                </c:pt>
              </c:strCache>
            </c:strRef>
          </c:cat>
          <c:val>
            <c:numRef>
              <c:f>Sheet1!$E$80:$E$85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9</c:v>
                </c:pt>
                <c:pt idx="4">
                  <c:v>15</c:v>
                </c:pt>
                <c:pt idx="5">
                  <c:v>7</c:v>
                </c:pt>
              </c:numCache>
            </c:numRef>
          </c:val>
        </c:ser>
        <c:shape val="box"/>
        <c:axId val="72804992"/>
        <c:axId val="72921856"/>
        <c:axId val="0"/>
      </c:bar3DChart>
      <c:catAx>
        <c:axId val="72804992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2921856"/>
        <c:crosses val="autoZero"/>
        <c:auto val="1"/>
        <c:lblAlgn val="ctr"/>
        <c:lblOffset val="100"/>
      </c:catAx>
      <c:valAx>
        <c:axId val="7292185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2804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9911049366940526E-2"/>
          <c:y val="0.45494232011560337"/>
          <c:w val="0.23457149349692899"/>
          <c:h val="7.6895339703509299E-2"/>
        </c:manualLayout>
      </c:layout>
      <c:txPr>
        <a:bodyPr/>
        <a:lstStyle/>
        <a:p>
          <a:pPr>
            <a:defRPr lang="en-US"/>
          </a:pPr>
          <a:endParaRPr lang="en-US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roundedCorners val="1"/>
  <c:style val="1"/>
  <c:chart>
    <c:autoTitleDeleted val="1"/>
    <c:plotArea>
      <c:layout/>
      <c:pieChart>
        <c:varyColors val="1"/>
        <c:ser>
          <c:idx val="0"/>
          <c:order val="0"/>
          <c:tx>
            <c:strRef>
              <c:f>Sheet1!$B$5</c:f>
              <c:strCache>
                <c:ptCount val="1"/>
                <c:pt idx="0">
                  <c:v>No. of Species</c:v>
                </c:pt>
              </c:strCache>
            </c:strRef>
          </c:tx>
          <c:cat>
            <c:strRef>
              <c:f>Sheet1!$A$6:$A$9</c:f>
              <c:strCache>
                <c:ptCount val="4"/>
                <c:pt idx="0">
                  <c:v>Corticolous</c:v>
                </c:pt>
                <c:pt idx="1">
                  <c:v>Ramicolous</c:v>
                </c:pt>
                <c:pt idx="2">
                  <c:v>Saxicolous</c:v>
                </c:pt>
                <c:pt idx="3">
                  <c:v>Tericolous</c:v>
                </c:pt>
              </c:strCache>
            </c:strRef>
          </c:cat>
          <c:val>
            <c:numRef>
              <c:f>Sheet1!$B$6:$B$9</c:f>
              <c:numCache>
                <c:formatCode>General</c:formatCode>
                <c:ptCount val="4"/>
                <c:pt idx="0">
                  <c:v>27</c:v>
                </c:pt>
                <c:pt idx="1">
                  <c:v>7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4241797900262396"/>
          <c:y val="0.32330635753864162"/>
          <c:w val="0.23813757655293094"/>
          <c:h val="0.44597987751531087"/>
        </c:manualLayout>
      </c:layout>
      <c:txPr>
        <a:bodyPr/>
        <a:lstStyle/>
        <a:p>
          <a:pPr>
            <a:defRPr lang="en-US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Vinayaka</dc:creator>
  <cp:keywords/>
  <dc:description/>
  <cp:lastModifiedBy>Vinayaka</cp:lastModifiedBy>
  <cp:revision>2</cp:revision>
  <dcterms:created xsi:type="dcterms:W3CDTF">2018-05-15T15:05:00Z</dcterms:created>
  <dcterms:modified xsi:type="dcterms:W3CDTF">2018-05-15T15:13:00Z</dcterms:modified>
</cp:coreProperties>
</file>